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87"/>
        <w:gridCol w:w="3302"/>
        <w:gridCol w:w="3283"/>
      </w:tblGrid>
      <w:tr w:rsidR="00A032F5" w:rsidRPr="009B22E4" w:rsidTr="002B58E8">
        <w:trPr>
          <w:trHeight w:val="287"/>
        </w:trPr>
        <w:tc>
          <w:tcPr>
            <w:tcW w:w="9960" w:type="dxa"/>
            <w:gridSpan w:val="4"/>
          </w:tcPr>
          <w:p w:rsidR="00A032F5" w:rsidRPr="009B22E4" w:rsidRDefault="00A032F5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HISTÓRIA</w:t>
            </w:r>
          </w:p>
        </w:tc>
      </w:tr>
      <w:tr w:rsidR="00A032F5" w:rsidRPr="009B22E4" w:rsidTr="002B58E8">
        <w:trPr>
          <w:trHeight w:val="287"/>
        </w:trPr>
        <w:tc>
          <w:tcPr>
            <w:tcW w:w="3388" w:type="dxa"/>
            <w:gridSpan w:val="2"/>
          </w:tcPr>
          <w:p w:rsidR="00A032F5" w:rsidRPr="009B22E4" w:rsidRDefault="00A032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72" w:type="dxa"/>
            <w:gridSpan w:val="2"/>
          </w:tcPr>
          <w:p w:rsidR="00A032F5" w:rsidRPr="009B22E4" w:rsidRDefault="00A032F5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SÉRIE</w:t>
            </w:r>
          </w:p>
        </w:tc>
      </w:tr>
      <w:tr w:rsidR="00A032F5" w:rsidRPr="009B22E4" w:rsidTr="002B58E8">
        <w:trPr>
          <w:trHeight w:val="287"/>
        </w:trPr>
        <w:tc>
          <w:tcPr>
            <w:tcW w:w="3388" w:type="dxa"/>
            <w:gridSpan w:val="2"/>
          </w:tcPr>
          <w:p w:rsidR="00A032F5" w:rsidRPr="009B22E4" w:rsidRDefault="00A032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A032F5" w:rsidRPr="009B22E4" w:rsidRDefault="00A032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A032F5" w:rsidRPr="009B22E4" w:rsidTr="002B58E8">
        <w:trPr>
          <w:trHeight w:val="287"/>
        </w:trPr>
        <w:tc>
          <w:tcPr>
            <w:tcW w:w="3388" w:type="dxa"/>
            <w:gridSpan w:val="2"/>
          </w:tcPr>
          <w:p w:rsidR="00A032F5" w:rsidRPr="009B22E4" w:rsidRDefault="00A032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  <w:gridSpan w:val="2"/>
          </w:tcPr>
          <w:p w:rsidR="00A032F5" w:rsidRPr="009B22E4" w:rsidRDefault="00A032F5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A032F5" w:rsidRPr="009B22E4" w:rsidTr="002B58E8">
        <w:trPr>
          <w:trHeight w:val="287"/>
        </w:trPr>
        <w:tc>
          <w:tcPr>
            <w:tcW w:w="9960" w:type="dxa"/>
            <w:gridSpan w:val="4"/>
          </w:tcPr>
          <w:p w:rsidR="00A032F5" w:rsidRPr="009B22E4" w:rsidRDefault="00A032F5" w:rsidP="002B58E8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Estabelecer relações de continuidade, permanência, ruptura e transformação nos processos históricos; Identificar a história como processo histórico; Compreender a sociedade e suas transformações e os múltiplos fatores que nela intervêm. Produzir textos históricos, a partir de análise dos processos históricos estudados; Utilizar textos e estudos feitos para comparar problemáticas atuais e de outros momentos históricos.</w:t>
            </w:r>
          </w:p>
        </w:tc>
      </w:tr>
      <w:tr w:rsidR="00A032F5" w:rsidRPr="009B22E4" w:rsidTr="002B58E8">
        <w:trPr>
          <w:trHeight w:val="287"/>
        </w:trPr>
        <w:tc>
          <w:tcPr>
            <w:tcW w:w="9960" w:type="dxa"/>
            <w:gridSpan w:val="4"/>
            <w:shd w:val="clear" w:color="auto" w:fill="C0C0C0"/>
          </w:tcPr>
          <w:p w:rsidR="00A032F5" w:rsidRPr="009B22E4" w:rsidRDefault="00A032F5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032F5" w:rsidRPr="009B22E4" w:rsidTr="002B58E8">
        <w:trPr>
          <w:trHeight w:val="894"/>
        </w:trPr>
        <w:tc>
          <w:tcPr>
            <w:tcW w:w="9960" w:type="dxa"/>
            <w:gridSpan w:val="4"/>
          </w:tcPr>
          <w:p w:rsidR="00A032F5" w:rsidRPr="009B22E4" w:rsidRDefault="00A032F5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sociedades modernas; O Renascimento; A Reforma Protestante; O Estado Absolutista; A expansão comercial e marítima; Mercantilismo; Iluminismo; Independência dos Estados Unidos; A Revolução Industrial; A Revolução Francesa; A civilização Industrial.</w:t>
            </w:r>
          </w:p>
        </w:tc>
      </w:tr>
      <w:tr w:rsidR="00A032F5" w:rsidRPr="009B22E4" w:rsidTr="002B58E8">
        <w:trPr>
          <w:trHeight w:val="268"/>
        </w:trPr>
        <w:tc>
          <w:tcPr>
            <w:tcW w:w="3320" w:type="dxa"/>
          </w:tcPr>
          <w:p w:rsidR="00A032F5" w:rsidRPr="002B12A7" w:rsidRDefault="00A032F5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20" w:type="dxa"/>
            <w:gridSpan w:val="2"/>
          </w:tcPr>
          <w:p w:rsidR="00A032F5" w:rsidRPr="002B12A7" w:rsidRDefault="00A032F5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20" w:type="dxa"/>
          </w:tcPr>
          <w:p w:rsidR="00A032F5" w:rsidRPr="002B12A7" w:rsidRDefault="00A032F5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A032F5" w:rsidRPr="009B22E4" w:rsidTr="002B58E8">
        <w:trPr>
          <w:trHeight w:val="1126"/>
        </w:trPr>
        <w:tc>
          <w:tcPr>
            <w:tcW w:w="3320" w:type="dxa"/>
          </w:tcPr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Criticar, analisar e interpretar fontes documentais de natureza diversa, reconhecendo o papel das diferentes linguagens, dos diferentes agentes sociais e dos diferentes contextos envolvidos em sua produção.</w:t>
            </w:r>
          </w:p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Relativizar as diversas concepções de tempo e as diversas formas de periodização do tempo cronológico, reconhecendo-as como construções culturais e históricas.</w:t>
            </w:r>
          </w:p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Situar as diversas produções da cultura – as linguagens, as artes, a filosofia, a religião, as ciências, as tecnologias e outras manifestações sociais – nos contextos históricos de sua constituição e significação.</w:t>
            </w:r>
          </w:p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Situar os momentos históricos nos diversos ritmos da duração e nas relações de sucessão e/ou de simultaneidade.</w:t>
            </w:r>
          </w:p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Posicionar-se diante de fatos presentes a partir da interpretação de suas relações com o passado.</w:t>
            </w:r>
          </w:p>
        </w:tc>
        <w:tc>
          <w:tcPr>
            <w:tcW w:w="3320" w:type="dxa"/>
            <w:gridSpan w:val="2"/>
          </w:tcPr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Produzir textos analíticos e interpretativos sobre os processos históricos, a partir das categorias e procedimentos próprios do discurso historiográfico.</w:t>
            </w:r>
          </w:p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Estabelecer relações entre continuidade/permanência e ruptura/transformaç</w:t>
            </w:r>
            <w:r>
              <w:rPr>
                <w:rFonts w:ascii="Arial" w:hAnsi="Arial" w:cs="Arial"/>
              </w:rPr>
              <w:t>ão nos processos históricos.</w:t>
            </w:r>
          </w:p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Construir a identidade pessoal e social na dimensão histórica, a partir do reconhecimento do papel do indivíduo nos processos históricos simultaneamente como sujeit</w:t>
            </w:r>
            <w:r>
              <w:rPr>
                <w:rFonts w:ascii="Arial" w:hAnsi="Arial" w:cs="Arial"/>
              </w:rPr>
              <w:t>o e como produto dos mesmos.</w:t>
            </w:r>
          </w:p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 xml:space="preserve">Atuar sobre os processos de construção da memória social, partindo da </w:t>
            </w:r>
            <w:proofErr w:type="spellStart"/>
            <w:r w:rsidRPr="00825BA5">
              <w:rPr>
                <w:rFonts w:ascii="Arial" w:hAnsi="Arial" w:cs="Arial"/>
              </w:rPr>
              <w:t>critica</w:t>
            </w:r>
            <w:proofErr w:type="spellEnd"/>
            <w:r w:rsidRPr="00825BA5">
              <w:rPr>
                <w:rFonts w:ascii="Arial" w:hAnsi="Arial" w:cs="Arial"/>
              </w:rPr>
              <w:t xml:space="preserve"> dos diversos “lugares da memória” socialmente instituídos.</w:t>
            </w:r>
          </w:p>
          <w:p w:rsidR="00A032F5" w:rsidRPr="00825BA5" w:rsidRDefault="00A032F5" w:rsidP="00A032F5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Comparar problemáticas atuais e de outros momentos históricos.</w:t>
            </w:r>
          </w:p>
          <w:p w:rsidR="00A032F5" w:rsidRDefault="00A032F5" w:rsidP="002B58E8">
            <w:pPr>
              <w:rPr>
                <w:rFonts w:ascii="Arial" w:hAnsi="Arial" w:cs="Arial"/>
                <w:b/>
                <w:bCs/>
              </w:rPr>
            </w:pPr>
          </w:p>
          <w:p w:rsidR="00A032F5" w:rsidRDefault="00A032F5" w:rsidP="002B58E8">
            <w:pPr>
              <w:rPr>
                <w:rFonts w:ascii="Arial" w:hAnsi="Arial" w:cs="Arial"/>
                <w:b/>
                <w:bCs/>
              </w:rPr>
            </w:pPr>
          </w:p>
          <w:p w:rsidR="00A032F5" w:rsidRDefault="00A032F5" w:rsidP="002B58E8">
            <w:pPr>
              <w:rPr>
                <w:rFonts w:ascii="Arial" w:hAnsi="Arial" w:cs="Arial"/>
                <w:b/>
                <w:bCs/>
              </w:rPr>
            </w:pPr>
          </w:p>
          <w:p w:rsidR="00A032F5" w:rsidRDefault="00A032F5" w:rsidP="002B58E8">
            <w:pPr>
              <w:rPr>
                <w:rFonts w:ascii="Arial" w:hAnsi="Arial" w:cs="Arial"/>
                <w:b/>
                <w:bCs/>
              </w:rPr>
            </w:pPr>
          </w:p>
          <w:p w:rsidR="00A032F5" w:rsidRPr="009B22E4" w:rsidRDefault="00A032F5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0" w:type="dxa"/>
          </w:tcPr>
          <w:p w:rsidR="00A032F5" w:rsidRPr="000D2C69" w:rsidRDefault="00A032F5" w:rsidP="002B58E8">
            <w:pPr>
              <w:pStyle w:val="Pr-formataoHTML"/>
              <w:rPr>
                <w:b/>
              </w:rPr>
            </w:pPr>
            <w:r w:rsidRPr="000D2C69">
              <w:rPr>
                <w:rFonts w:ascii="Arial" w:hAnsi="Arial" w:cs="Arial"/>
                <w:b/>
                <w:sz w:val="24"/>
                <w:szCs w:val="24"/>
              </w:rPr>
              <w:t>1º Trimestre</w:t>
            </w:r>
          </w:p>
          <w:p w:rsidR="00A032F5" w:rsidRDefault="00A032F5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sociedades modernas</w:t>
            </w:r>
          </w:p>
          <w:p w:rsidR="00A032F5" w:rsidRDefault="00A032F5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Renascimento</w:t>
            </w:r>
          </w:p>
          <w:p w:rsidR="00A032F5" w:rsidRDefault="00A032F5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Reforma Protestante</w:t>
            </w:r>
          </w:p>
          <w:p w:rsidR="00A032F5" w:rsidRDefault="00A032F5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O Estado Absolutista</w:t>
            </w:r>
          </w:p>
          <w:p w:rsidR="00A032F5" w:rsidRPr="000D2C69" w:rsidRDefault="00A032F5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0D2C69">
              <w:rPr>
                <w:rFonts w:ascii="Arial" w:hAnsi="Arial" w:cs="Arial"/>
                <w:b/>
                <w:sz w:val="24"/>
                <w:szCs w:val="24"/>
              </w:rPr>
              <w:t>2º Trimestre</w:t>
            </w:r>
          </w:p>
          <w:p w:rsidR="00A032F5" w:rsidRDefault="00A032F5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expansão comercial e marítima</w:t>
            </w:r>
          </w:p>
          <w:p w:rsidR="00A032F5" w:rsidRDefault="00A032F5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Mercantilismo</w:t>
            </w:r>
          </w:p>
          <w:p w:rsidR="00A032F5" w:rsidRDefault="00A032F5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Iluminismo</w:t>
            </w:r>
          </w:p>
          <w:p w:rsidR="00A032F5" w:rsidRDefault="00A032F5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Independência dos Estados Unidos</w:t>
            </w:r>
          </w:p>
          <w:p w:rsidR="00A032F5" w:rsidRPr="000D2C69" w:rsidRDefault="00A032F5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0D2C69">
              <w:rPr>
                <w:rFonts w:ascii="Arial" w:hAnsi="Arial" w:cs="Arial"/>
                <w:b/>
                <w:sz w:val="24"/>
                <w:szCs w:val="24"/>
              </w:rPr>
              <w:t>3º Trimestre</w:t>
            </w:r>
          </w:p>
          <w:p w:rsidR="00A032F5" w:rsidRDefault="00A032F5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Revolução Industrial</w:t>
            </w:r>
          </w:p>
          <w:p w:rsidR="00A032F5" w:rsidRDefault="00A032F5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Revolução Francesa</w:t>
            </w:r>
          </w:p>
          <w:p w:rsidR="00A032F5" w:rsidRDefault="00A032F5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A civilização Industrial</w:t>
            </w:r>
          </w:p>
          <w:p w:rsidR="00A032F5" w:rsidRDefault="00A032F5" w:rsidP="002B58E8">
            <w:pPr>
              <w:tabs>
                <w:tab w:val="left" w:pos="11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032F5" w:rsidRPr="009B22E4" w:rsidTr="002B58E8">
        <w:trPr>
          <w:trHeight w:val="899"/>
        </w:trPr>
        <w:tc>
          <w:tcPr>
            <w:tcW w:w="9960" w:type="dxa"/>
            <w:gridSpan w:val="4"/>
          </w:tcPr>
          <w:p w:rsidR="00A032F5" w:rsidRPr="00D73316" w:rsidRDefault="00A032F5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73316">
              <w:rPr>
                <w:rFonts w:ascii="Arial" w:hAnsi="Arial" w:cs="Arial"/>
                <w:b/>
                <w:bCs/>
              </w:rPr>
              <w:t>BIBLIOGRAFIA</w:t>
            </w:r>
          </w:p>
          <w:p w:rsidR="00A032F5" w:rsidRPr="00D73316" w:rsidRDefault="00A032F5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648BD">
              <w:rPr>
                <w:rFonts w:ascii="Arial" w:hAnsi="Arial" w:cs="Arial"/>
              </w:rPr>
              <w:t>ALVES, R. A alegria de ensinar.</w:t>
            </w:r>
            <w:r>
              <w:rPr>
                <w:rFonts w:ascii="Arial" w:hAnsi="Arial" w:cs="Arial"/>
              </w:rPr>
              <w:t xml:space="preserve"> São Paulo: </w:t>
            </w:r>
            <w:proofErr w:type="spellStart"/>
            <w:r>
              <w:rPr>
                <w:rFonts w:ascii="Arial" w:hAnsi="Arial" w:cs="Arial"/>
              </w:rPr>
              <w:t>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Poetica</w:t>
            </w:r>
            <w:proofErr w:type="spellEnd"/>
            <w:r>
              <w:rPr>
                <w:rFonts w:ascii="Arial" w:hAnsi="Arial" w:cs="Arial"/>
              </w:rPr>
              <w:t>, 1994.</w:t>
            </w:r>
            <w:r>
              <w:rPr>
                <w:rFonts w:ascii="Arial" w:hAnsi="Arial" w:cs="Arial"/>
              </w:rPr>
              <w:br/>
            </w:r>
            <w:r w:rsidRPr="003648BD">
              <w:rPr>
                <w:rFonts w:ascii="Arial" w:hAnsi="Arial" w:cs="Arial"/>
              </w:rPr>
              <w:t>BRASIL. Lei n. 9394, de 20 de dezembro de 1996. Estabelece as diretrizes e bases da educação nacional. Diário Oficial da República Federativa do Brasil, Brasília, 23 d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lastRenderedPageBreak/>
              <w:t>dezembro de 1996.</w:t>
            </w:r>
            <w:r>
              <w:rPr>
                <w:rFonts w:ascii="Arial" w:hAnsi="Arial" w:cs="Arial"/>
              </w:rPr>
              <w:br/>
            </w:r>
            <w:r w:rsidRPr="003648BD">
              <w:rPr>
                <w:rFonts w:ascii="Arial" w:hAnsi="Arial" w:cs="Arial"/>
              </w:rPr>
              <w:t xml:space="preserve">BRASIL. Ministério da Educação. Conselho Nacional da Educação. Parecer CEB n. 15/98.Diretrizes Curriculares </w:t>
            </w:r>
            <w:r>
              <w:rPr>
                <w:rFonts w:ascii="Arial" w:hAnsi="Arial" w:cs="Arial"/>
              </w:rPr>
              <w:t>Nacionais para o Ensino Médio.</w:t>
            </w:r>
            <w:r>
              <w:rPr>
                <w:rFonts w:ascii="Arial" w:hAnsi="Arial" w:cs="Arial"/>
              </w:rPr>
              <w:br/>
            </w:r>
            <w:r w:rsidRPr="003648BD">
              <w:rPr>
                <w:rFonts w:ascii="Arial" w:hAnsi="Arial" w:cs="Arial"/>
              </w:rPr>
              <w:t>BRASIL. Ministério da Educação e do Desporto. Secretaria de Educação Média e Tecnológica. Parâmetros curriculares nacionais: ensi</w:t>
            </w:r>
            <w:r>
              <w:rPr>
                <w:rFonts w:ascii="Arial" w:hAnsi="Arial" w:cs="Arial"/>
              </w:rPr>
              <w:t>no médio. Brasília: MEC, 1999.</w:t>
            </w:r>
            <w:r>
              <w:rPr>
                <w:rFonts w:ascii="Arial" w:hAnsi="Arial" w:cs="Arial"/>
              </w:rPr>
              <w:br/>
            </w:r>
            <w:r w:rsidRPr="003648BD">
              <w:rPr>
                <w:rFonts w:ascii="Arial" w:hAnsi="Arial" w:cs="Arial"/>
              </w:rPr>
              <w:t>BRASIL. MEC. Instituto Nacional de Estudos e Pesquisas Educacionais. Exame Nacional do Ensino Médio: Documento Básico. Brasília: o Instituto, 1999</w:t>
            </w:r>
            <w:r>
              <w:t>.</w:t>
            </w:r>
          </w:p>
          <w:p w:rsidR="00A032F5" w:rsidRDefault="00A032F5" w:rsidP="002B58E8">
            <w:pPr>
              <w:tabs>
                <w:tab w:val="left" w:pos="1170"/>
              </w:tabs>
              <w:rPr>
                <w:rFonts w:ascii="Arial" w:hAnsi="Arial" w:cs="Arial"/>
                <w:b/>
                <w:bCs/>
              </w:rPr>
            </w:pPr>
            <w:r w:rsidRPr="00D73316">
              <w:rPr>
                <w:rFonts w:ascii="Arial" w:eastAsia="ArialMT" w:hAnsi="Arial" w:cs="Arial"/>
              </w:rPr>
              <w:t xml:space="preserve">MOTA, Myriam </w:t>
            </w:r>
            <w:proofErr w:type="spellStart"/>
            <w:r w:rsidRPr="00D73316">
              <w:rPr>
                <w:rFonts w:ascii="Arial" w:eastAsia="ArialMT" w:hAnsi="Arial" w:cs="Arial"/>
              </w:rPr>
              <w:t>Becho</w:t>
            </w:r>
            <w:proofErr w:type="spellEnd"/>
            <w:r w:rsidRPr="00D73316">
              <w:rPr>
                <w:rFonts w:ascii="Arial" w:eastAsia="ArialMT" w:hAnsi="Arial" w:cs="Arial"/>
              </w:rPr>
              <w:t xml:space="preserve"> e </w:t>
            </w:r>
            <w:proofErr w:type="spellStart"/>
            <w:r w:rsidRPr="00D73316">
              <w:rPr>
                <w:rFonts w:ascii="Arial" w:eastAsia="ArialMT" w:hAnsi="Arial" w:cs="Arial"/>
              </w:rPr>
              <w:t>BRAICK</w:t>
            </w:r>
            <w:proofErr w:type="spellEnd"/>
            <w:r w:rsidRPr="00D73316">
              <w:rPr>
                <w:rFonts w:ascii="Arial" w:eastAsia="ArialMT" w:hAnsi="Arial" w:cs="Arial"/>
              </w:rPr>
              <w:t xml:space="preserve">, Patrícia Ramos. </w:t>
            </w:r>
            <w:proofErr w:type="spellStart"/>
            <w:r w:rsidRPr="00D73316">
              <w:rPr>
                <w:rFonts w:ascii="Arial" w:eastAsia="ArialMT" w:hAnsi="Arial" w:cs="Arial"/>
              </w:rPr>
              <w:t>Historia</w:t>
            </w:r>
            <w:proofErr w:type="spellEnd"/>
            <w:r w:rsidRPr="00D73316">
              <w:rPr>
                <w:rFonts w:ascii="Arial" w:eastAsia="ArialMT" w:hAnsi="Arial" w:cs="Arial"/>
              </w:rPr>
              <w:t>: das cavernas ao terceiro mil</w:t>
            </w:r>
            <w:r w:rsidRPr="00D73316">
              <w:rPr>
                <w:rFonts w:ascii="Arial" w:eastAsia="ArialMT" w:hAnsi="Arial" w:cs="Arial"/>
              </w:rPr>
              <w:t>ê</w:t>
            </w:r>
            <w:r w:rsidRPr="00D73316">
              <w:rPr>
                <w:rFonts w:ascii="Arial" w:eastAsia="ArialMT" w:hAnsi="Arial" w:cs="Arial"/>
              </w:rPr>
              <w:t>nio. Vol. 1. São Paulo: Moderna, 2008</w:t>
            </w:r>
            <w:r>
              <w:rPr>
                <w:rFonts w:ascii="Arial" w:eastAsia="ArialMT" w:hAnsi="Arial" w:cs="Arial"/>
              </w:rPr>
              <w:t>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A92A203C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F5"/>
    <w:rsid w:val="00360411"/>
    <w:rsid w:val="00A032F5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BB5A-81C3-4D41-A938-A03B63D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A03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32F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2017-02-03T13:30:00Z</dcterms:created>
  <dcterms:modified xsi:type="dcterms:W3CDTF">2017-02-03T13:30:00Z</dcterms:modified>
</cp:coreProperties>
</file>